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4310" w:rsidRPr="00CE4310" w:rsidRDefault="00CE4310" w:rsidP="00CE4310">
      <w:pPr>
        <w:spacing w:after="240" w:line="240" w:lineRule="auto"/>
        <w:rPr>
          <w:rFonts w:ascii="Times New Roman" w:eastAsia="Times New Roman" w:hAnsi="Times New Roman" w:cs="Times New Roman"/>
          <w:sz w:val="24"/>
          <w:szCs w:val="24"/>
          <w:lang w:val="en-GB" w:eastAsia="en-GB"/>
        </w:rPr>
      </w:pPr>
      <w:r w:rsidRPr="00CE4310">
        <w:rPr>
          <w:rFonts w:ascii="Times New Roman" w:eastAsia="Times New Roman" w:hAnsi="Times New Roman" w:cs="Times New Roman"/>
          <w:b/>
          <w:bCs/>
          <w:sz w:val="24"/>
          <w:szCs w:val="24"/>
          <w:lang w:val="en-GB" w:eastAsia="en-GB"/>
        </w:rPr>
        <w:t>ISA ISPID</w:t>
      </w:r>
      <w:r w:rsidRPr="00CE4310">
        <w:rPr>
          <w:rFonts w:ascii="Times New Roman" w:eastAsia="Times New Roman" w:hAnsi="Times New Roman" w:cs="Times New Roman"/>
          <w:b/>
          <w:bCs/>
          <w:sz w:val="24"/>
          <w:szCs w:val="24"/>
          <w:lang w:val="en-GB" w:eastAsia="en-GB"/>
        </w:rPr>
        <w:br/>
      </w:r>
      <w:r w:rsidRPr="00CE4310">
        <w:rPr>
          <w:rFonts w:ascii="Times New Roman" w:eastAsia="Times New Roman" w:hAnsi="Times New Roman" w:cs="Times New Roman"/>
          <w:b/>
          <w:bCs/>
          <w:sz w:val="24"/>
          <w:szCs w:val="24"/>
          <w:lang w:val="en-GB" w:eastAsia="en-GB"/>
        </w:rPr>
        <w:br/>
        <w:t>Abstract Submission</w:t>
      </w:r>
      <w:r w:rsidRPr="00CE4310">
        <w:rPr>
          <w:rFonts w:ascii="Times New Roman" w:eastAsia="Times New Roman" w:hAnsi="Times New Roman" w:cs="Times New Roman"/>
          <w:b/>
          <w:bCs/>
          <w:sz w:val="24"/>
          <w:szCs w:val="24"/>
          <w:lang w:val="en-GB" w:eastAsia="en-GB"/>
        </w:rPr>
        <w:br/>
      </w:r>
      <w:r w:rsidRPr="00CE4310">
        <w:rPr>
          <w:rFonts w:ascii="Times New Roman" w:eastAsia="Times New Roman" w:hAnsi="Times New Roman" w:cs="Times New Roman"/>
          <w:b/>
          <w:bCs/>
          <w:sz w:val="24"/>
          <w:szCs w:val="24"/>
          <w:lang w:val="en-GB" w:eastAsia="en-GB"/>
        </w:rPr>
        <w:br/>
        <w:t xml:space="preserve">Nº: </w:t>
      </w:r>
      <w:r w:rsidRPr="00CE4310">
        <w:rPr>
          <w:rFonts w:ascii="Times New Roman" w:eastAsia="Times New Roman" w:hAnsi="Times New Roman" w:cs="Times New Roman"/>
          <w:b/>
          <w:bCs/>
          <w:color w:val="FF0000"/>
          <w:sz w:val="42"/>
          <w:szCs w:val="42"/>
          <w:lang w:val="en-GB" w:eastAsia="en-GB"/>
        </w:rPr>
        <w:t>270</w:t>
      </w:r>
    </w:p>
    <w:tbl>
      <w:tblPr>
        <w:tblW w:w="4750" w:type="pct"/>
        <w:tblCellSpacing w:w="0" w:type="dxa"/>
        <w:tblCellMar>
          <w:left w:w="0" w:type="dxa"/>
          <w:right w:w="0" w:type="dxa"/>
        </w:tblCellMar>
        <w:tblLook w:val="04A0" w:firstRow="1" w:lastRow="0" w:firstColumn="1" w:lastColumn="0" w:noHBand="0" w:noVBand="1"/>
      </w:tblPr>
      <w:tblGrid>
        <w:gridCol w:w="8575"/>
      </w:tblGrid>
      <w:tr w:rsidR="00CE4310" w:rsidRPr="00CE4310" w:rsidTr="00CE4310">
        <w:trPr>
          <w:tblCellSpacing w:w="0" w:type="dxa"/>
        </w:trPr>
        <w:tc>
          <w:tcPr>
            <w:tcW w:w="0" w:type="auto"/>
            <w:vAlign w:val="center"/>
            <w:hideMark/>
          </w:tcPr>
          <w:p w:rsidR="00CE4310" w:rsidRPr="00CE4310" w:rsidRDefault="00CE4310" w:rsidP="00CE4310">
            <w:pPr>
              <w:spacing w:after="0" w:line="240" w:lineRule="auto"/>
              <w:rPr>
                <w:rFonts w:ascii="Times New Roman" w:eastAsia="Times New Roman" w:hAnsi="Times New Roman" w:cs="Times New Roman"/>
                <w:sz w:val="24"/>
                <w:szCs w:val="24"/>
                <w:lang w:val="en-GB" w:eastAsia="en-GB"/>
              </w:rPr>
            </w:pPr>
            <w:r w:rsidRPr="00CE4310">
              <w:rPr>
                <w:rFonts w:ascii="Times New Roman" w:eastAsia="Times New Roman" w:hAnsi="Times New Roman" w:cs="Times New Roman"/>
                <w:sz w:val="24"/>
                <w:szCs w:val="24"/>
                <w:lang w:val="en-GB" w:eastAsia="en-GB"/>
              </w:rPr>
              <w:t xml:space="preserve">Topics: </w:t>
            </w:r>
            <w:r w:rsidRPr="00CE4310">
              <w:rPr>
                <w:rFonts w:ascii="Times New Roman" w:eastAsia="Times New Roman" w:hAnsi="Times New Roman" w:cs="Times New Roman"/>
                <w:b/>
                <w:bCs/>
                <w:sz w:val="24"/>
                <w:szCs w:val="24"/>
                <w:lang w:val="en-GB" w:eastAsia="en-GB"/>
              </w:rPr>
              <w:t>Stillbirth</w:t>
            </w:r>
          </w:p>
        </w:tc>
      </w:tr>
      <w:tr w:rsidR="00CE4310" w:rsidRPr="00CE4310" w:rsidTr="00CE4310">
        <w:trPr>
          <w:tblCellSpacing w:w="0" w:type="dxa"/>
        </w:trPr>
        <w:tc>
          <w:tcPr>
            <w:tcW w:w="0" w:type="auto"/>
            <w:vAlign w:val="center"/>
            <w:hideMark/>
          </w:tcPr>
          <w:p w:rsidR="00CE4310" w:rsidRPr="00CE4310" w:rsidRDefault="00CE4310" w:rsidP="00CE4310">
            <w:pPr>
              <w:spacing w:after="0" w:line="240" w:lineRule="auto"/>
              <w:rPr>
                <w:rFonts w:ascii="Times New Roman" w:eastAsia="Times New Roman" w:hAnsi="Times New Roman" w:cs="Times New Roman"/>
                <w:sz w:val="24"/>
                <w:szCs w:val="24"/>
                <w:lang w:val="en-GB" w:eastAsia="en-GB"/>
              </w:rPr>
            </w:pPr>
            <w:r w:rsidRPr="00CE4310">
              <w:rPr>
                <w:rFonts w:ascii="Times New Roman" w:eastAsia="Times New Roman" w:hAnsi="Times New Roman" w:cs="Times New Roman"/>
                <w:sz w:val="24"/>
                <w:szCs w:val="24"/>
                <w:lang w:val="en-GB" w:eastAsia="en-GB"/>
              </w:rPr>
              <w:t xml:space="preserve">Type: </w:t>
            </w:r>
            <w:r w:rsidRPr="00CE4310">
              <w:rPr>
                <w:rFonts w:ascii="Times New Roman" w:eastAsia="Times New Roman" w:hAnsi="Times New Roman" w:cs="Times New Roman"/>
                <w:b/>
                <w:bCs/>
                <w:sz w:val="24"/>
                <w:szCs w:val="24"/>
                <w:lang w:val="en-GB" w:eastAsia="en-GB"/>
              </w:rPr>
              <w:t>Oral</w:t>
            </w:r>
          </w:p>
        </w:tc>
      </w:tr>
      <w:tr w:rsidR="00CE4310" w:rsidRPr="00CE4310" w:rsidTr="00CE4310">
        <w:trPr>
          <w:tblCellSpacing w:w="0" w:type="dxa"/>
        </w:trPr>
        <w:tc>
          <w:tcPr>
            <w:tcW w:w="0" w:type="auto"/>
            <w:vAlign w:val="center"/>
            <w:hideMark/>
          </w:tcPr>
          <w:p w:rsidR="00CE4310" w:rsidRPr="00CE4310" w:rsidRDefault="00CE4310" w:rsidP="00CE4310">
            <w:pPr>
              <w:spacing w:after="0" w:line="240" w:lineRule="auto"/>
              <w:jc w:val="center"/>
              <w:rPr>
                <w:rFonts w:ascii="Times New Roman" w:eastAsia="Times New Roman" w:hAnsi="Times New Roman" w:cs="Times New Roman"/>
                <w:sz w:val="24"/>
                <w:szCs w:val="24"/>
                <w:lang w:val="en-GB" w:eastAsia="en-GB"/>
              </w:rPr>
            </w:pPr>
            <w:r w:rsidRPr="00CE4310">
              <w:rPr>
                <w:rFonts w:ascii="Times New Roman" w:eastAsia="Times New Roman" w:hAnsi="Times New Roman" w:cs="Times New Roman"/>
                <w:sz w:val="24"/>
                <w:szCs w:val="24"/>
                <w:lang w:val="en-GB" w:eastAsia="en-GB"/>
              </w:rPr>
              <w:br/>
            </w:r>
            <w:r w:rsidRPr="00CE4310">
              <w:rPr>
                <w:rFonts w:ascii="Times New Roman" w:eastAsia="Times New Roman" w:hAnsi="Times New Roman" w:cs="Times New Roman"/>
                <w:b/>
                <w:bCs/>
                <w:sz w:val="24"/>
                <w:szCs w:val="24"/>
                <w:lang w:val="en-GB" w:eastAsia="en-GB"/>
              </w:rPr>
              <w:t>Going to sleep in the supine position is a modifiable risk factor for late stillbirth: a multi-centre case-control study</w:t>
            </w:r>
          </w:p>
        </w:tc>
      </w:tr>
      <w:tr w:rsidR="00CE4310" w:rsidRPr="00CE4310" w:rsidTr="00CE4310">
        <w:trPr>
          <w:tblCellSpacing w:w="0" w:type="dxa"/>
        </w:trPr>
        <w:tc>
          <w:tcPr>
            <w:tcW w:w="0" w:type="auto"/>
            <w:vAlign w:val="center"/>
            <w:hideMark/>
          </w:tcPr>
          <w:p w:rsidR="00CE4310" w:rsidRPr="00CE4310" w:rsidRDefault="00CE4310" w:rsidP="00CE4310">
            <w:pPr>
              <w:spacing w:after="0" w:line="240" w:lineRule="auto"/>
              <w:jc w:val="center"/>
              <w:rPr>
                <w:rFonts w:ascii="Times New Roman" w:eastAsia="Times New Roman" w:hAnsi="Times New Roman" w:cs="Times New Roman"/>
                <w:sz w:val="24"/>
                <w:szCs w:val="24"/>
                <w:lang w:val="en-GB" w:eastAsia="en-GB"/>
              </w:rPr>
            </w:pPr>
            <w:proofErr w:type="spellStart"/>
            <w:r w:rsidRPr="00CE4310">
              <w:rPr>
                <w:rFonts w:ascii="Times New Roman" w:eastAsia="Times New Roman" w:hAnsi="Times New Roman" w:cs="Times New Roman"/>
                <w:b/>
                <w:bCs/>
                <w:sz w:val="24"/>
                <w:szCs w:val="24"/>
                <w:u w:val="single"/>
                <w:lang w:val="en-GB" w:eastAsia="en-GB"/>
              </w:rPr>
              <w:t>McCowan</w:t>
            </w:r>
            <w:proofErr w:type="spellEnd"/>
            <w:r w:rsidRPr="00CE4310">
              <w:rPr>
                <w:rFonts w:ascii="Times New Roman" w:eastAsia="Times New Roman" w:hAnsi="Times New Roman" w:cs="Times New Roman"/>
                <w:b/>
                <w:bCs/>
                <w:sz w:val="24"/>
                <w:szCs w:val="24"/>
                <w:u w:val="single"/>
                <w:lang w:val="en-GB" w:eastAsia="en-GB"/>
              </w:rPr>
              <w:t xml:space="preserve">, Lesley M E </w:t>
            </w:r>
            <w:r w:rsidRPr="00CE4310">
              <w:rPr>
                <w:rFonts w:ascii="Times New Roman" w:eastAsia="Times New Roman" w:hAnsi="Times New Roman" w:cs="Times New Roman"/>
                <w:sz w:val="24"/>
                <w:szCs w:val="24"/>
                <w:vertAlign w:val="superscript"/>
                <w:lang w:val="en-GB" w:eastAsia="en-GB"/>
              </w:rPr>
              <w:t>1</w:t>
            </w:r>
            <w:r w:rsidRPr="00CE4310">
              <w:rPr>
                <w:rFonts w:ascii="Times New Roman" w:eastAsia="Times New Roman" w:hAnsi="Times New Roman" w:cs="Times New Roman"/>
                <w:sz w:val="24"/>
                <w:szCs w:val="24"/>
                <w:lang w:val="en-GB" w:eastAsia="en-GB"/>
              </w:rPr>
              <w:t xml:space="preserve">; </w:t>
            </w:r>
            <w:r w:rsidRPr="00CE4310">
              <w:rPr>
                <w:rFonts w:ascii="Times New Roman" w:eastAsia="Times New Roman" w:hAnsi="Times New Roman" w:cs="Times New Roman"/>
                <w:b/>
                <w:bCs/>
                <w:sz w:val="24"/>
                <w:szCs w:val="24"/>
                <w:lang w:val="en-GB" w:eastAsia="en-GB"/>
              </w:rPr>
              <w:t>Thompson, John M D</w:t>
            </w:r>
            <w:r w:rsidRPr="00CE4310">
              <w:rPr>
                <w:rFonts w:ascii="Times New Roman" w:eastAsia="Times New Roman" w:hAnsi="Times New Roman" w:cs="Times New Roman"/>
                <w:sz w:val="24"/>
                <w:szCs w:val="24"/>
                <w:vertAlign w:val="superscript"/>
                <w:lang w:val="en-GB" w:eastAsia="en-GB"/>
              </w:rPr>
              <w:t>2</w:t>
            </w:r>
            <w:r w:rsidRPr="00CE4310">
              <w:rPr>
                <w:rFonts w:ascii="Times New Roman" w:eastAsia="Times New Roman" w:hAnsi="Times New Roman" w:cs="Times New Roman"/>
                <w:sz w:val="24"/>
                <w:szCs w:val="24"/>
                <w:lang w:val="en-GB" w:eastAsia="en-GB"/>
              </w:rPr>
              <w:t xml:space="preserve">; </w:t>
            </w:r>
            <w:r w:rsidRPr="00CE4310">
              <w:rPr>
                <w:rFonts w:ascii="Times New Roman" w:eastAsia="Times New Roman" w:hAnsi="Times New Roman" w:cs="Times New Roman"/>
                <w:b/>
                <w:bCs/>
                <w:sz w:val="24"/>
                <w:szCs w:val="24"/>
                <w:lang w:val="en-GB" w:eastAsia="en-GB"/>
              </w:rPr>
              <w:t>Cronin, Robin S</w:t>
            </w:r>
            <w:r w:rsidRPr="00CE4310">
              <w:rPr>
                <w:rFonts w:ascii="Times New Roman" w:eastAsia="Times New Roman" w:hAnsi="Times New Roman" w:cs="Times New Roman"/>
                <w:sz w:val="24"/>
                <w:szCs w:val="24"/>
                <w:vertAlign w:val="superscript"/>
                <w:lang w:val="en-GB" w:eastAsia="en-GB"/>
              </w:rPr>
              <w:t>1</w:t>
            </w:r>
            <w:r w:rsidRPr="00CE4310">
              <w:rPr>
                <w:rFonts w:ascii="Times New Roman" w:eastAsia="Times New Roman" w:hAnsi="Times New Roman" w:cs="Times New Roman"/>
                <w:sz w:val="24"/>
                <w:szCs w:val="24"/>
                <w:lang w:val="en-GB" w:eastAsia="en-GB"/>
              </w:rPr>
              <w:t xml:space="preserve">; </w:t>
            </w:r>
            <w:r w:rsidRPr="00CE4310">
              <w:rPr>
                <w:rFonts w:ascii="Times New Roman" w:eastAsia="Times New Roman" w:hAnsi="Times New Roman" w:cs="Times New Roman"/>
                <w:b/>
                <w:bCs/>
                <w:sz w:val="24"/>
                <w:szCs w:val="24"/>
                <w:lang w:val="en-GB" w:eastAsia="en-GB"/>
              </w:rPr>
              <w:t xml:space="preserve">Li, </w:t>
            </w:r>
            <w:proofErr w:type="spellStart"/>
            <w:r w:rsidRPr="00CE4310">
              <w:rPr>
                <w:rFonts w:ascii="Times New Roman" w:eastAsia="Times New Roman" w:hAnsi="Times New Roman" w:cs="Times New Roman"/>
                <w:b/>
                <w:bCs/>
                <w:sz w:val="24"/>
                <w:szCs w:val="24"/>
                <w:lang w:val="en-GB" w:eastAsia="en-GB"/>
              </w:rPr>
              <w:t>Minglan</w:t>
            </w:r>
            <w:proofErr w:type="spellEnd"/>
            <w:r w:rsidRPr="00CE4310">
              <w:rPr>
                <w:rFonts w:ascii="Times New Roman" w:eastAsia="Times New Roman" w:hAnsi="Times New Roman" w:cs="Times New Roman"/>
                <w:b/>
                <w:bCs/>
                <w:sz w:val="24"/>
                <w:szCs w:val="24"/>
                <w:lang w:val="en-GB" w:eastAsia="en-GB"/>
              </w:rPr>
              <w:t xml:space="preserve"> </w:t>
            </w:r>
            <w:r w:rsidRPr="00CE4310">
              <w:rPr>
                <w:rFonts w:ascii="Times New Roman" w:eastAsia="Times New Roman" w:hAnsi="Times New Roman" w:cs="Times New Roman"/>
                <w:sz w:val="24"/>
                <w:szCs w:val="24"/>
                <w:vertAlign w:val="superscript"/>
                <w:lang w:val="en-GB" w:eastAsia="en-GB"/>
              </w:rPr>
              <w:t>1</w:t>
            </w:r>
            <w:r w:rsidRPr="00CE4310">
              <w:rPr>
                <w:rFonts w:ascii="Times New Roman" w:eastAsia="Times New Roman" w:hAnsi="Times New Roman" w:cs="Times New Roman"/>
                <w:sz w:val="24"/>
                <w:szCs w:val="24"/>
                <w:lang w:val="en-GB" w:eastAsia="en-GB"/>
              </w:rPr>
              <w:t xml:space="preserve">; </w:t>
            </w:r>
            <w:r w:rsidRPr="00CE4310">
              <w:rPr>
                <w:rFonts w:ascii="Times New Roman" w:eastAsia="Times New Roman" w:hAnsi="Times New Roman" w:cs="Times New Roman"/>
                <w:b/>
                <w:bCs/>
                <w:sz w:val="24"/>
                <w:szCs w:val="24"/>
                <w:lang w:val="en-GB" w:eastAsia="en-GB"/>
              </w:rPr>
              <w:t>Stone, Peter</w:t>
            </w:r>
            <w:r w:rsidRPr="00CE4310">
              <w:rPr>
                <w:rFonts w:ascii="Times New Roman" w:eastAsia="Times New Roman" w:hAnsi="Times New Roman" w:cs="Times New Roman"/>
                <w:sz w:val="24"/>
                <w:szCs w:val="24"/>
                <w:vertAlign w:val="superscript"/>
                <w:lang w:val="en-GB" w:eastAsia="en-GB"/>
              </w:rPr>
              <w:t>1</w:t>
            </w:r>
            <w:r w:rsidRPr="00CE4310">
              <w:rPr>
                <w:rFonts w:ascii="Times New Roman" w:eastAsia="Times New Roman" w:hAnsi="Times New Roman" w:cs="Times New Roman"/>
                <w:sz w:val="24"/>
                <w:szCs w:val="24"/>
                <w:lang w:val="en-GB" w:eastAsia="en-GB"/>
              </w:rPr>
              <w:t xml:space="preserve">; </w:t>
            </w:r>
            <w:proofErr w:type="spellStart"/>
            <w:r w:rsidRPr="00CE4310">
              <w:rPr>
                <w:rFonts w:ascii="Times New Roman" w:eastAsia="Times New Roman" w:hAnsi="Times New Roman" w:cs="Times New Roman"/>
                <w:b/>
                <w:bCs/>
                <w:sz w:val="24"/>
                <w:szCs w:val="24"/>
                <w:lang w:val="en-GB" w:eastAsia="en-GB"/>
              </w:rPr>
              <w:t>Ekeroma</w:t>
            </w:r>
            <w:proofErr w:type="spellEnd"/>
            <w:r w:rsidRPr="00CE4310">
              <w:rPr>
                <w:rFonts w:ascii="Times New Roman" w:eastAsia="Times New Roman" w:hAnsi="Times New Roman" w:cs="Times New Roman"/>
                <w:b/>
                <w:bCs/>
                <w:sz w:val="24"/>
                <w:szCs w:val="24"/>
                <w:lang w:val="en-GB" w:eastAsia="en-GB"/>
              </w:rPr>
              <w:t xml:space="preserve">, Alec J </w:t>
            </w:r>
            <w:r w:rsidRPr="00CE4310">
              <w:rPr>
                <w:rFonts w:ascii="Times New Roman" w:eastAsia="Times New Roman" w:hAnsi="Times New Roman" w:cs="Times New Roman"/>
                <w:sz w:val="24"/>
                <w:szCs w:val="24"/>
                <w:vertAlign w:val="superscript"/>
                <w:lang w:val="en-GB" w:eastAsia="en-GB"/>
              </w:rPr>
              <w:t>1</w:t>
            </w:r>
            <w:r w:rsidRPr="00CE4310">
              <w:rPr>
                <w:rFonts w:ascii="Times New Roman" w:eastAsia="Times New Roman" w:hAnsi="Times New Roman" w:cs="Times New Roman"/>
                <w:sz w:val="24"/>
                <w:szCs w:val="24"/>
                <w:lang w:val="en-GB" w:eastAsia="en-GB"/>
              </w:rPr>
              <w:t xml:space="preserve">; </w:t>
            </w:r>
            <w:r w:rsidRPr="00CE4310">
              <w:rPr>
                <w:rFonts w:ascii="Times New Roman" w:eastAsia="Times New Roman" w:hAnsi="Times New Roman" w:cs="Times New Roman"/>
                <w:b/>
                <w:bCs/>
                <w:sz w:val="24"/>
                <w:szCs w:val="24"/>
                <w:lang w:val="en-GB" w:eastAsia="en-GB"/>
              </w:rPr>
              <w:t>Lawton, Beverley A</w:t>
            </w:r>
            <w:r w:rsidRPr="00CE4310">
              <w:rPr>
                <w:rFonts w:ascii="Times New Roman" w:eastAsia="Times New Roman" w:hAnsi="Times New Roman" w:cs="Times New Roman"/>
                <w:sz w:val="24"/>
                <w:szCs w:val="24"/>
                <w:vertAlign w:val="superscript"/>
                <w:lang w:val="en-GB" w:eastAsia="en-GB"/>
              </w:rPr>
              <w:t>3</w:t>
            </w:r>
            <w:r w:rsidRPr="00CE4310">
              <w:rPr>
                <w:rFonts w:ascii="Times New Roman" w:eastAsia="Times New Roman" w:hAnsi="Times New Roman" w:cs="Times New Roman"/>
                <w:sz w:val="24"/>
                <w:szCs w:val="24"/>
                <w:lang w:val="en-GB" w:eastAsia="en-GB"/>
              </w:rPr>
              <w:t xml:space="preserve">; </w:t>
            </w:r>
            <w:r w:rsidRPr="00CE4310">
              <w:rPr>
                <w:rFonts w:ascii="Times New Roman" w:eastAsia="Times New Roman" w:hAnsi="Times New Roman" w:cs="Times New Roman"/>
                <w:b/>
                <w:bCs/>
                <w:sz w:val="24"/>
                <w:szCs w:val="24"/>
                <w:lang w:val="en-GB" w:eastAsia="en-GB"/>
              </w:rPr>
              <w:t xml:space="preserve">Mitchell, Edwin A </w:t>
            </w:r>
            <w:r w:rsidRPr="00CE4310">
              <w:rPr>
                <w:rFonts w:ascii="Times New Roman" w:eastAsia="Times New Roman" w:hAnsi="Times New Roman" w:cs="Times New Roman"/>
                <w:sz w:val="24"/>
                <w:szCs w:val="24"/>
                <w:vertAlign w:val="superscript"/>
                <w:lang w:val="en-GB" w:eastAsia="en-GB"/>
              </w:rPr>
              <w:t>2</w:t>
            </w:r>
            <w:r w:rsidRPr="00CE4310">
              <w:rPr>
                <w:rFonts w:ascii="Times New Roman" w:eastAsia="Times New Roman" w:hAnsi="Times New Roman" w:cs="Times New Roman"/>
                <w:sz w:val="24"/>
                <w:szCs w:val="24"/>
                <w:lang w:val="en-GB" w:eastAsia="en-GB"/>
              </w:rPr>
              <w:br/>
            </w:r>
            <w:r w:rsidRPr="00CE4310">
              <w:rPr>
                <w:rFonts w:ascii="Times New Roman" w:eastAsia="Times New Roman" w:hAnsi="Times New Roman" w:cs="Times New Roman"/>
                <w:i/>
                <w:iCs/>
                <w:sz w:val="24"/>
                <w:szCs w:val="24"/>
                <w:lang w:val="en-GB" w:eastAsia="en-GB"/>
              </w:rPr>
              <w:t xml:space="preserve">1 - Department of Obstetrics and Gynaecology, University of Auckland. 2 - Department of Paediatrics, University of Auckland. 3 - Women’s Health Research Centre, University of Otago. </w:t>
            </w:r>
          </w:p>
        </w:tc>
      </w:tr>
      <w:tr w:rsidR="00CE4310" w:rsidRPr="00CE4310" w:rsidTr="00CE4310">
        <w:trPr>
          <w:tblCellSpacing w:w="0" w:type="dxa"/>
        </w:trPr>
        <w:tc>
          <w:tcPr>
            <w:tcW w:w="0" w:type="auto"/>
            <w:vAlign w:val="center"/>
            <w:hideMark/>
          </w:tcPr>
          <w:p w:rsidR="00CE4310" w:rsidRPr="00CE4310" w:rsidRDefault="00CE4310" w:rsidP="00CE4310">
            <w:pPr>
              <w:spacing w:after="0" w:line="240" w:lineRule="auto"/>
              <w:jc w:val="both"/>
              <w:rPr>
                <w:rFonts w:ascii="Times New Roman" w:eastAsia="Times New Roman" w:hAnsi="Times New Roman" w:cs="Times New Roman"/>
                <w:sz w:val="24"/>
                <w:szCs w:val="24"/>
                <w:lang w:val="en-GB" w:eastAsia="en-GB"/>
              </w:rPr>
            </w:pPr>
          </w:p>
          <w:p w:rsidR="00CE4310" w:rsidRPr="00CE4310" w:rsidRDefault="00CE4310" w:rsidP="00CE4310">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CE4310">
              <w:rPr>
                <w:rFonts w:ascii="Times New Roman" w:eastAsia="Times New Roman" w:hAnsi="Times New Roman" w:cs="Times New Roman"/>
                <w:b/>
                <w:bCs/>
                <w:sz w:val="24"/>
                <w:szCs w:val="24"/>
                <w:lang w:val="en-GB" w:eastAsia="en-GB"/>
              </w:rPr>
              <w:t>Introduction</w:t>
            </w:r>
            <w:r w:rsidRPr="00CE4310">
              <w:rPr>
                <w:rFonts w:ascii="Times New Roman" w:eastAsia="Times New Roman" w:hAnsi="Times New Roman" w:cs="Times New Roman"/>
                <w:sz w:val="24"/>
                <w:szCs w:val="24"/>
                <w:lang w:val="en-GB" w:eastAsia="en-GB"/>
              </w:rPr>
              <w:br/>
              <w:t>The Auckland Stillbirth Study reported that women who went to sleep supine or on their right side, the night before the baby was thought to have died, had an increased risk of late (</w:t>
            </w:r>
            <w:r w:rsidRPr="00CE4310">
              <w:rPr>
                <w:rFonts w:ascii="Times New Roman" w:eastAsia="Times New Roman" w:hAnsi="Times New Roman" w:cs="Times New Roman"/>
                <w:sz w:val="24"/>
                <w:szCs w:val="24"/>
                <w:u w:val="single"/>
                <w:lang w:val="en-GB" w:eastAsia="en-GB"/>
              </w:rPr>
              <w:t>&gt;</w:t>
            </w:r>
            <w:r w:rsidRPr="00CE4310">
              <w:rPr>
                <w:rFonts w:ascii="Times New Roman" w:eastAsia="Times New Roman" w:hAnsi="Times New Roman" w:cs="Times New Roman"/>
                <w:sz w:val="24"/>
                <w:szCs w:val="24"/>
                <w:lang w:val="en-GB" w:eastAsia="en-GB"/>
              </w:rPr>
              <w:t xml:space="preserve"> 28 weeks’) stillbirth. Since our initial publication two further papers have reported increased late stillbirth risk with supine going to sleep position. </w:t>
            </w:r>
            <w:r w:rsidRPr="00CE4310">
              <w:rPr>
                <w:rFonts w:ascii="Times New Roman" w:eastAsia="Times New Roman" w:hAnsi="Times New Roman" w:cs="Times New Roman"/>
                <w:b/>
                <w:bCs/>
                <w:sz w:val="24"/>
                <w:szCs w:val="24"/>
                <w:lang w:val="en-GB" w:eastAsia="en-GB"/>
              </w:rPr>
              <w:t xml:space="preserve">Objectives: </w:t>
            </w:r>
            <w:r w:rsidRPr="00CE4310">
              <w:rPr>
                <w:rFonts w:ascii="Times New Roman" w:eastAsia="Times New Roman" w:hAnsi="Times New Roman" w:cs="Times New Roman"/>
                <w:sz w:val="24"/>
                <w:szCs w:val="24"/>
                <w:lang w:val="en-GB" w:eastAsia="en-GB"/>
              </w:rPr>
              <w:t xml:space="preserve">To determine whether self-reported sleep position is associated with increased risk of late stillbirth. </w:t>
            </w:r>
          </w:p>
          <w:p w:rsidR="00CE4310" w:rsidRPr="00CE4310" w:rsidRDefault="00CE4310" w:rsidP="005D72E0">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CE4310">
              <w:rPr>
                <w:rFonts w:ascii="Times New Roman" w:eastAsia="Times New Roman" w:hAnsi="Times New Roman" w:cs="Times New Roman"/>
                <w:b/>
                <w:bCs/>
                <w:sz w:val="24"/>
                <w:szCs w:val="24"/>
                <w:lang w:val="en-GB" w:eastAsia="en-GB"/>
              </w:rPr>
              <w:t>Material and Methods</w:t>
            </w:r>
            <w:r w:rsidRPr="00CE4310">
              <w:rPr>
                <w:rFonts w:ascii="Times New Roman" w:eastAsia="Times New Roman" w:hAnsi="Times New Roman" w:cs="Times New Roman"/>
                <w:sz w:val="24"/>
                <w:szCs w:val="24"/>
                <w:lang w:val="en-GB" w:eastAsia="en-GB"/>
              </w:rPr>
              <w:br/>
              <w:t xml:space="preserve">A multi-centre case control study was conducted in seven large New Zealand centres between February 2012 and Jan 2016. Cases were women with singleton pregnancies and late stillbirth (not due to congenital abnormality or multiple pregnancies) and controls women with ongoing singleton pregnancies, recruited to correspond to the expected gestation and District Health Board of the women with stillbirths. Comprehensive demographic and clinical data were collected by research midwives at interview (median time of 3.3 weeks after stillbirth) and detailed information about maternal sleep practices recorded. </w:t>
            </w:r>
          </w:p>
          <w:p w:rsidR="003D452A" w:rsidRDefault="00CE4310" w:rsidP="00CE4310">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CE4310">
              <w:rPr>
                <w:rFonts w:ascii="Times New Roman" w:eastAsia="Times New Roman" w:hAnsi="Times New Roman" w:cs="Times New Roman"/>
                <w:b/>
                <w:bCs/>
                <w:sz w:val="24"/>
                <w:szCs w:val="24"/>
                <w:lang w:val="en-GB" w:eastAsia="en-GB"/>
              </w:rPr>
              <w:t>Results</w:t>
            </w:r>
            <w:r w:rsidRPr="00CE4310">
              <w:rPr>
                <w:rFonts w:ascii="Times New Roman" w:eastAsia="Times New Roman" w:hAnsi="Times New Roman" w:cs="Times New Roman"/>
                <w:sz w:val="24"/>
                <w:szCs w:val="24"/>
                <w:lang w:val="en-GB" w:eastAsia="en-GB"/>
              </w:rPr>
              <w:br/>
              <w:t xml:space="preserve">169 women with late stillbirths (66% of eligible cases) and 569 women with ongoing pregnancies (62.4% of eligible controls) were recruited.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1"/>
              <w:gridCol w:w="1468"/>
              <w:gridCol w:w="1110"/>
              <w:gridCol w:w="1947"/>
              <w:gridCol w:w="2089"/>
            </w:tblGrid>
            <w:tr w:rsidR="003D452A" w:rsidRPr="00365886" w:rsidTr="00CA3839">
              <w:tc>
                <w:tcPr>
                  <w:tcW w:w="1073"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b/>
                      <w:bCs/>
                      <w:sz w:val="24"/>
                      <w:szCs w:val="24"/>
                    </w:rPr>
                    <w:t>Characteristics</w:t>
                  </w:r>
                </w:p>
              </w:tc>
              <w:tc>
                <w:tcPr>
                  <w:tcW w:w="874"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Late stillbirths</w:t>
                  </w:r>
                </w:p>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N=169</w:t>
                  </w:r>
                </w:p>
              </w:tc>
              <w:tc>
                <w:tcPr>
                  <w:tcW w:w="65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Controls</w:t>
                  </w:r>
                </w:p>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 xml:space="preserve"> N=569</w:t>
                  </w:r>
                </w:p>
              </w:tc>
              <w:tc>
                <w:tcPr>
                  <w:tcW w:w="1162" w:type="pct"/>
                </w:tcPr>
                <w:p w:rsidR="003D452A" w:rsidRPr="003D452A" w:rsidRDefault="003D452A" w:rsidP="00CA3839">
                  <w:pPr>
                    <w:spacing w:after="0" w:line="240" w:lineRule="auto"/>
                    <w:jc w:val="both"/>
                    <w:rPr>
                      <w:rFonts w:ascii="Arial" w:hAnsi="Arial" w:cs="Arial"/>
                      <w:sz w:val="24"/>
                      <w:szCs w:val="24"/>
                    </w:rPr>
                  </w:pPr>
                  <w:proofErr w:type="spellStart"/>
                  <w:r w:rsidRPr="003D452A">
                    <w:rPr>
                      <w:rFonts w:ascii="Arial" w:hAnsi="Arial" w:cs="Arial"/>
                      <w:sz w:val="24"/>
                      <w:szCs w:val="24"/>
                    </w:rPr>
                    <w:t>Univariable</w:t>
                  </w:r>
                  <w:proofErr w:type="spellEnd"/>
                  <w:r w:rsidRPr="003D452A">
                    <w:rPr>
                      <w:rFonts w:ascii="Arial" w:hAnsi="Arial" w:cs="Arial"/>
                      <w:sz w:val="24"/>
                      <w:szCs w:val="24"/>
                    </w:rPr>
                    <w:t xml:space="preserve"> OR (95%CI) </w:t>
                  </w:r>
                </w:p>
              </w:tc>
              <w:tc>
                <w:tcPr>
                  <w:tcW w:w="123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 xml:space="preserve">Multivariable* OR (95%CI) </w:t>
                  </w:r>
                </w:p>
              </w:tc>
            </w:tr>
            <w:tr w:rsidR="003D452A" w:rsidRPr="00365886" w:rsidTr="00CA3839">
              <w:tc>
                <w:tcPr>
                  <w:tcW w:w="1073"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Age &gt; 40 (years)</w:t>
                  </w:r>
                </w:p>
              </w:tc>
              <w:tc>
                <w:tcPr>
                  <w:tcW w:w="874"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8.9%</w:t>
                  </w:r>
                </w:p>
              </w:tc>
              <w:tc>
                <w:tcPr>
                  <w:tcW w:w="65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 xml:space="preserve"> 3.5%</w:t>
                  </w:r>
                </w:p>
              </w:tc>
              <w:tc>
                <w:tcPr>
                  <w:tcW w:w="1162"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2.91(1.37, 6.17)</w:t>
                  </w:r>
                </w:p>
              </w:tc>
              <w:tc>
                <w:tcPr>
                  <w:tcW w:w="123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3.20 (1.50, 6.82)</w:t>
                  </w:r>
                </w:p>
              </w:tc>
            </w:tr>
            <w:tr w:rsidR="003D452A" w:rsidRPr="00365886" w:rsidTr="00CA3839">
              <w:tc>
                <w:tcPr>
                  <w:tcW w:w="1073"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BMI (kg/m</w:t>
                  </w:r>
                  <w:r w:rsidRPr="003D452A">
                    <w:rPr>
                      <w:rFonts w:ascii="Arial" w:hAnsi="Arial" w:cs="Arial"/>
                      <w:sz w:val="24"/>
                      <w:szCs w:val="24"/>
                      <w:vertAlign w:val="superscript"/>
                    </w:rPr>
                    <w:t>2</w:t>
                  </w:r>
                  <w:r w:rsidRPr="003D452A">
                    <w:rPr>
                      <w:rFonts w:ascii="Arial" w:hAnsi="Arial" w:cs="Arial"/>
                      <w:sz w:val="24"/>
                      <w:szCs w:val="24"/>
                    </w:rPr>
                    <w:t>)</w:t>
                  </w:r>
                </w:p>
              </w:tc>
              <w:tc>
                <w:tcPr>
                  <w:tcW w:w="874"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29.0 (7.5)</w:t>
                  </w:r>
                </w:p>
              </w:tc>
              <w:tc>
                <w:tcPr>
                  <w:tcW w:w="65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26.4 (6.1)</w:t>
                  </w:r>
                </w:p>
              </w:tc>
              <w:tc>
                <w:tcPr>
                  <w:tcW w:w="1162"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1.06(1.03, 2.98)</w:t>
                  </w:r>
                </w:p>
              </w:tc>
              <w:tc>
                <w:tcPr>
                  <w:tcW w:w="123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1.04 (1.01, 1.07)</w:t>
                  </w:r>
                </w:p>
              </w:tc>
            </w:tr>
            <w:tr w:rsidR="003D452A" w:rsidRPr="00365886" w:rsidTr="00CA3839">
              <w:trPr>
                <w:trHeight w:val="320"/>
              </w:trPr>
              <w:tc>
                <w:tcPr>
                  <w:tcW w:w="1073"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High deprivation</w:t>
                  </w:r>
                </w:p>
              </w:tc>
              <w:tc>
                <w:tcPr>
                  <w:tcW w:w="874"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55.0%</w:t>
                  </w:r>
                </w:p>
              </w:tc>
              <w:tc>
                <w:tcPr>
                  <w:tcW w:w="65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44.5%</w:t>
                  </w:r>
                </w:p>
              </w:tc>
              <w:tc>
                <w:tcPr>
                  <w:tcW w:w="1162"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1.86(1.23, 2.80)</w:t>
                  </w:r>
                </w:p>
              </w:tc>
              <w:tc>
                <w:tcPr>
                  <w:tcW w:w="123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1.47 (0.87, 2.47)</w:t>
                  </w:r>
                </w:p>
              </w:tc>
            </w:tr>
            <w:tr w:rsidR="003D452A" w:rsidRPr="00365886" w:rsidTr="00CA3839">
              <w:tc>
                <w:tcPr>
                  <w:tcW w:w="1073"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Smoking</w:t>
                  </w:r>
                </w:p>
              </w:tc>
              <w:tc>
                <w:tcPr>
                  <w:tcW w:w="874"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21.9%</w:t>
                  </w:r>
                </w:p>
              </w:tc>
              <w:tc>
                <w:tcPr>
                  <w:tcW w:w="65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11.6 %</w:t>
                  </w:r>
                </w:p>
              </w:tc>
              <w:tc>
                <w:tcPr>
                  <w:tcW w:w="1162"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2.14(1.37, 3.34)</w:t>
                  </w:r>
                </w:p>
              </w:tc>
              <w:tc>
                <w:tcPr>
                  <w:tcW w:w="123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1.44 (0.85, 2.43)</w:t>
                  </w:r>
                </w:p>
              </w:tc>
            </w:tr>
            <w:tr w:rsidR="003D452A" w:rsidRPr="00365886" w:rsidTr="00CA3839">
              <w:tc>
                <w:tcPr>
                  <w:tcW w:w="1073"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lastRenderedPageBreak/>
                    <w:t>SGA at birth</w:t>
                  </w:r>
                </w:p>
              </w:tc>
              <w:tc>
                <w:tcPr>
                  <w:tcW w:w="874"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30.2%</w:t>
                  </w:r>
                </w:p>
              </w:tc>
              <w:tc>
                <w:tcPr>
                  <w:tcW w:w="65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12.3%</w:t>
                  </w:r>
                </w:p>
              </w:tc>
              <w:tc>
                <w:tcPr>
                  <w:tcW w:w="1162"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3.8 (2.3, 6.1)</w:t>
                  </w:r>
                </w:p>
              </w:tc>
              <w:tc>
                <w:tcPr>
                  <w:tcW w:w="123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3.31 (1.96, 5.59)</w:t>
                  </w:r>
                </w:p>
              </w:tc>
            </w:tr>
            <w:tr w:rsidR="003D452A" w:rsidRPr="00365886" w:rsidTr="00CA3839">
              <w:trPr>
                <w:trHeight w:val="450"/>
              </w:trPr>
              <w:tc>
                <w:tcPr>
                  <w:tcW w:w="5000" w:type="pct"/>
                  <w:gridSpan w:val="5"/>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b/>
                      <w:bCs/>
                      <w:sz w:val="24"/>
                      <w:szCs w:val="24"/>
                    </w:rPr>
                    <w:t>Going to sleep position last night*</w:t>
                  </w:r>
                </w:p>
              </w:tc>
            </w:tr>
            <w:tr w:rsidR="003D452A" w:rsidRPr="00365886" w:rsidTr="00CA3839">
              <w:tc>
                <w:tcPr>
                  <w:tcW w:w="1073"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Left</w:t>
                  </w:r>
                </w:p>
              </w:tc>
              <w:tc>
                <w:tcPr>
                  <w:tcW w:w="874"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47.3%</w:t>
                  </w:r>
                </w:p>
              </w:tc>
              <w:tc>
                <w:tcPr>
                  <w:tcW w:w="65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57.6%</w:t>
                  </w:r>
                </w:p>
              </w:tc>
              <w:tc>
                <w:tcPr>
                  <w:tcW w:w="1162"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1.00</w:t>
                  </w:r>
                </w:p>
              </w:tc>
              <w:tc>
                <w:tcPr>
                  <w:tcW w:w="123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1.00</w:t>
                  </w:r>
                </w:p>
              </w:tc>
            </w:tr>
            <w:tr w:rsidR="003D452A" w:rsidRPr="00365886" w:rsidTr="00CA3839">
              <w:tc>
                <w:tcPr>
                  <w:tcW w:w="1073"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Right</w:t>
                  </w:r>
                </w:p>
              </w:tc>
              <w:tc>
                <w:tcPr>
                  <w:tcW w:w="874"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27.2%</w:t>
                  </w:r>
                </w:p>
              </w:tc>
              <w:tc>
                <w:tcPr>
                  <w:tcW w:w="65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32.9%</w:t>
                  </w:r>
                </w:p>
              </w:tc>
              <w:tc>
                <w:tcPr>
                  <w:tcW w:w="1162"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1.01(0.67, 1.51)</w:t>
                  </w:r>
                </w:p>
              </w:tc>
              <w:tc>
                <w:tcPr>
                  <w:tcW w:w="123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0.93 (0.60, 1.43)</w:t>
                  </w:r>
                </w:p>
              </w:tc>
            </w:tr>
            <w:tr w:rsidR="003D452A" w:rsidRPr="00365886" w:rsidTr="00CA3839">
              <w:tc>
                <w:tcPr>
                  <w:tcW w:w="1073"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Supine</w:t>
                  </w:r>
                </w:p>
              </w:tc>
              <w:tc>
                <w:tcPr>
                  <w:tcW w:w="874"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11.2%</w:t>
                  </w:r>
                </w:p>
              </w:tc>
              <w:tc>
                <w:tcPr>
                  <w:tcW w:w="65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3.9%</w:t>
                  </w:r>
                </w:p>
              </w:tc>
              <w:tc>
                <w:tcPr>
                  <w:tcW w:w="1162"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3.54(1.83, 6.86)</w:t>
                  </w:r>
                </w:p>
              </w:tc>
              <w:tc>
                <w:tcPr>
                  <w:tcW w:w="123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3.48 (1.67,  7.27)</w:t>
                  </w:r>
                </w:p>
              </w:tc>
            </w:tr>
            <w:tr w:rsidR="003D452A" w:rsidRPr="00365886" w:rsidTr="00CA3839">
              <w:tc>
                <w:tcPr>
                  <w:tcW w:w="1073"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Restless</w:t>
                  </w:r>
                </w:p>
              </w:tc>
              <w:tc>
                <w:tcPr>
                  <w:tcW w:w="874"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8.9 %</w:t>
                  </w:r>
                </w:p>
              </w:tc>
              <w:tc>
                <w:tcPr>
                  <w:tcW w:w="65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3.9%</w:t>
                  </w:r>
                </w:p>
              </w:tc>
              <w:tc>
                <w:tcPr>
                  <w:tcW w:w="1162"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2.80(1.39, 5.63)</w:t>
                  </w:r>
                </w:p>
              </w:tc>
              <w:tc>
                <w:tcPr>
                  <w:tcW w:w="123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2.19 (0.99, 4.81)</w:t>
                  </w:r>
                </w:p>
              </w:tc>
            </w:tr>
            <w:tr w:rsidR="003D452A" w:rsidRPr="00365886" w:rsidTr="00CA3839">
              <w:trPr>
                <w:trHeight w:val="290"/>
              </w:trPr>
              <w:tc>
                <w:tcPr>
                  <w:tcW w:w="1073"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Propped</w:t>
                  </w:r>
                </w:p>
              </w:tc>
              <w:tc>
                <w:tcPr>
                  <w:tcW w:w="874"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2.4%</w:t>
                  </w:r>
                </w:p>
              </w:tc>
              <w:tc>
                <w:tcPr>
                  <w:tcW w:w="65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1.6%</w:t>
                  </w:r>
                </w:p>
              </w:tc>
              <w:tc>
                <w:tcPr>
                  <w:tcW w:w="1162" w:type="pct"/>
                </w:tcPr>
                <w:p w:rsidR="003D452A" w:rsidRPr="003D452A" w:rsidRDefault="003D452A" w:rsidP="003D452A">
                  <w:pPr>
                    <w:spacing w:after="0" w:line="240" w:lineRule="auto"/>
                    <w:jc w:val="both"/>
                    <w:rPr>
                      <w:rFonts w:ascii="Arial" w:hAnsi="Arial" w:cs="Arial"/>
                      <w:sz w:val="24"/>
                      <w:szCs w:val="24"/>
                    </w:rPr>
                  </w:pPr>
                  <w:r w:rsidRPr="003D452A">
                    <w:rPr>
                      <w:rFonts w:ascii="Arial" w:hAnsi="Arial" w:cs="Arial"/>
                      <w:sz w:val="24"/>
                      <w:szCs w:val="24"/>
                    </w:rPr>
                    <w:t>1.82(0.55, 77.9)</w:t>
                  </w:r>
                </w:p>
              </w:tc>
              <w:tc>
                <w:tcPr>
                  <w:tcW w:w="123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1.14 (0.32, 4.08)</w:t>
                  </w:r>
                </w:p>
              </w:tc>
            </w:tr>
            <w:tr w:rsidR="003D452A" w:rsidRPr="00365886" w:rsidTr="00CA3839">
              <w:trPr>
                <w:trHeight w:val="270"/>
              </w:trPr>
              <w:tc>
                <w:tcPr>
                  <w:tcW w:w="1073"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Unsure</w:t>
                  </w:r>
                </w:p>
              </w:tc>
              <w:tc>
                <w:tcPr>
                  <w:tcW w:w="874"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3.0%</w:t>
                  </w:r>
                </w:p>
              </w:tc>
              <w:tc>
                <w:tcPr>
                  <w:tcW w:w="655"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0.2%</w:t>
                  </w:r>
                </w:p>
              </w:tc>
              <w:tc>
                <w:tcPr>
                  <w:tcW w:w="1162" w:type="pct"/>
                </w:tcPr>
                <w:p w:rsidR="003D452A" w:rsidRPr="003D452A" w:rsidRDefault="003D452A" w:rsidP="00CA3839">
                  <w:pPr>
                    <w:spacing w:after="0" w:line="240" w:lineRule="auto"/>
                    <w:jc w:val="both"/>
                    <w:rPr>
                      <w:rFonts w:ascii="Arial" w:hAnsi="Arial" w:cs="Arial"/>
                      <w:sz w:val="24"/>
                      <w:szCs w:val="24"/>
                    </w:rPr>
                  </w:pPr>
                  <w:r w:rsidRPr="003D452A">
                    <w:rPr>
                      <w:rFonts w:ascii="Arial" w:hAnsi="Arial" w:cs="Arial"/>
                      <w:sz w:val="24"/>
                      <w:szCs w:val="24"/>
                    </w:rPr>
                    <w:t>3.02(1.10, 7.50)</w:t>
                  </w:r>
                </w:p>
              </w:tc>
              <w:tc>
                <w:tcPr>
                  <w:tcW w:w="1235" w:type="pct"/>
                </w:tcPr>
                <w:p w:rsidR="003D452A" w:rsidRPr="003D452A" w:rsidRDefault="003D452A" w:rsidP="003D452A">
                  <w:pPr>
                    <w:spacing w:after="0" w:line="240" w:lineRule="auto"/>
                    <w:jc w:val="both"/>
                    <w:rPr>
                      <w:rFonts w:ascii="Arial" w:hAnsi="Arial" w:cs="Arial"/>
                      <w:sz w:val="24"/>
                      <w:szCs w:val="24"/>
                    </w:rPr>
                  </w:pPr>
                  <w:r w:rsidRPr="003D452A">
                    <w:rPr>
                      <w:rFonts w:ascii="Arial" w:hAnsi="Arial" w:cs="Arial"/>
                      <w:sz w:val="24"/>
                      <w:szCs w:val="24"/>
                    </w:rPr>
                    <w:t>15.48(1.64, 45.9)</w:t>
                  </w:r>
                </w:p>
              </w:tc>
            </w:tr>
          </w:tbl>
          <w:p w:rsidR="003D452A" w:rsidRDefault="003D452A" w:rsidP="00CE4310">
            <w:pPr>
              <w:spacing w:before="100" w:beforeAutospacing="1" w:after="100" w:afterAutospacing="1" w:line="240" w:lineRule="auto"/>
              <w:jc w:val="both"/>
              <w:rPr>
                <w:rFonts w:ascii="Times New Roman" w:eastAsia="Times New Roman" w:hAnsi="Times New Roman" w:cs="Times New Roman"/>
                <w:sz w:val="24"/>
                <w:szCs w:val="24"/>
                <w:lang w:val="en-GB" w:eastAsia="en-GB"/>
              </w:rPr>
            </w:pPr>
          </w:p>
          <w:p w:rsidR="00CE4310" w:rsidRPr="00CE4310" w:rsidRDefault="00CE4310" w:rsidP="00CE4310">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CE4310">
              <w:rPr>
                <w:rFonts w:ascii="Times New Roman" w:eastAsia="Times New Roman" w:hAnsi="Times New Roman" w:cs="Times New Roman"/>
                <w:sz w:val="24"/>
                <w:szCs w:val="24"/>
                <w:lang w:val="en-GB" w:eastAsia="en-GB"/>
              </w:rPr>
              <w:t xml:space="preserve">*Controlled for, age, ethnicity, BMI, parity, social deprivation level, smoking, gestational age of interview/stillbirth and District Health Board of birth.  The population </w:t>
            </w:r>
            <w:proofErr w:type="gramStart"/>
            <w:r w:rsidRPr="00CE4310">
              <w:rPr>
                <w:rFonts w:ascii="Times New Roman" w:eastAsia="Times New Roman" w:hAnsi="Times New Roman" w:cs="Times New Roman"/>
                <w:sz w:val="24"/>
                <w:szCs w:val="24"/>
                <w:lang w:val="en-GB" w:eastAsia="en-GB"/>
              </w:rPr>
              <w:t>attributable</w:t>
            </w:r>
            <w:proofErr w:type="gramEnd"/>
            <w:r w:rsidRPr="00CE4310">
              <w:rPr>
                <w:rFonts w:ascii="Times New Roman" w:eastAsia="Times New Roman" w:hAnsi="Times New Roman" w:cs="Times New Roman"/>
                <w:sz w:val="24"/>
                <w:szCs w:val="24"/>
                <w:lang w:val="en-GB" w:eastAsia="en-GB"/>
              </w:rPr>
              <w:t xml:space="preserve"> risk of supine sleep position for late stillbirth was 8.8%. </w:t>
            </w:r>
          </w:p>
          <w:p w:rsidR="00CE4310" w:rsidRPr="00CE4310" w:rsidRDefault="00CE4310" w:rsidP="00CE4310">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CE4310">
              <w:rPr>
                <w:rFonts w:ascii="Times New Roman" w:eastAsia="Times New Roman" w:hAnsi="Times New Roman" w:cs="Times New Roman"/>
                <w:b/>
                <w:bCs/>
                <w:sz w:val="24"/>
                <w:szCs w:val="24"/>
                <w:lang w:val="en-GB" w:eastAsia="en-GB"/>
              </w:rPr>
              <w:t>Conclusions</w:t>
            </w:r>
            <w:r w:rsidRPr="00CE4310">
              <w:rPr>
                <w:rFonts w:ascii="Times New Roman" w:eastAsia="Times New Roman" w:hAnsi="Times New Roman" w:cs="Times New Roman"/>
                <w:sz w:val="24"/>
                <w:szCs w:val="24"/>
                <w:lang w:val="en-GB" w:eastAsia="en-GB"/>
              </w:rPr>
              <w:br/>
              <w:t xml:space="preserve">We have demonstrated an increased risk of late stillbirth for women who go to sleep in the supine position the night before the stillbirth is presumed to occur that is independent of common demographic risk factors. This finding confirms previous reports. It may be timely to develop public health messages advocating that women should not settle to sleep supine in late pregnancy. </w:t>
            </w:r>
          </w:p>
        </w:tc>
      </w:tr>
      <w:tr w:rsidR="00CE4310" w:rsidRPr="00CE4310" w:rsidTr="00CE4310">
        <w:trPr>
          <w:tblCellSpacing w:w="0" w:type="dxa"/>
        </w:trPr>
        <w:tc>
          <w:tcPr>
            <w:tcW w:w="0" w:type="auto"/>
            <w:vAlign w:val="center"/>
            <w:hideMark/>
          </w:tcPr>
          <w:p w:rsidR="00CE4310" w:rsidRPr="00CE4310" w:rsidRDefault="00CE4310" w:rsidP="00CE4310">
            <w:pPr>
              <w:spacing w:after="0" w:line="240" w:lineRule="auto"/>
              <w:rPr>
                <w:rFonts w:ascii="Times New Roman" w:eastAsia="Times New Roman" w:hAnsi="Times New Roman" w:cs="Times New Roman"/>
                <w:sz w:val="24"/>
                <w:szCs w:val="24"/>
                <w:lang w:val="en-GB" w:eastAsia="en-GB"/>
              </w:rPr>
            </w:pPr>
            <w:r w:rsidRPr="00CE4310">
              <w:rPr>
                <w:rFonts w:ascii="Times New Roman" w:eastAsia="Times New Roman" w:hAnsi="Times New Roman" w:cs="Times New Roman"/>
                <w:sz w:val="24"/>
                <w:szCs w:val="24"/>
                <w:lang w:val="en-GB" w:eastAsia="en-GB"/>
              </w:rPr>
              <w:lastRenderedPageBreak/>
              <w:t> </w:t>
            </w:r>
          </w:p>
        </w:tc>
      </w:tr>
    </w:tbl>
    <w:p w:rsidR="003D452A" w:rsidRPr="003D452A" w:rsidRDefault="003D452A" w:rsidP="003D452A">
      <w:pPr>
        <w:spacing w:after="0" w:line="240" w:lineRule="auto"/>
        <w:jc w:val="both"/>
        <w:rPr>
          <w:rFonts w:ascii="Times New Roman" w:hAnsi="Times New Roman" w:cs="Times New Roman"/>
          <w:b/>
          <w:sz w:val="24"/>
          <w:szCs w:val="24"/>
        </w:rPr>
      </w:pPr>
      <w:r w:rsidRPr="003D452A">
        <w:rPr>
          <w:rFonts w:ascii="Times New Roman" w:hAnsi="Times New Roman" w:cs="Times New Roman"/>
          <w:b/>
          <w:sz w:val="24"/>
          <w:szCs w:val="24"/>
        </w:rPr>
        <w:t>Funding sources</w:t>
      </w:r>
    </w:p>
    <w:p w:rsidR="003D452A" w:rsidRPr="003D452A" w:rsidRDefault="003D452A" w:rsidP="003D452A">
      <w:pPr>
        <w:spacing w:after="0" w:line="240" w:lineRule="auto"/>
        <w:jc w:val="both"/>
        <w:rPr>
          <w:rFonts w:ascii="Times New Roman" w:hAnsi="Times New Roman" w:cs="Times New Roman"/>
          <w:sz w:val="24"/>
          <w:szCs w:val="24"/>
        </w:rPr>
      </w:pPr>
      <w:proofErr w:type="gramStart"/>
      <w:r w:rsidRPr="003D452A">
        <w:rPr>
          <w:rFonts w:ascii="Times New Roman" w:hAnsi="Times New Roman" w:cs="Times New Roman"/>
          <w:sz w:val="24"/>
          <w:szCs w:val="24"/>
        </w:rPr>
        <w:t>Health Research Council of New Zealand, Cure Kids, Mercia Barnes Trust, Nurture Foundation, University of Auckland Faculty Research Development Fund.</w:t>
      </w:r>
      <w:proofErr w:type="gramEnd"/>
    </w:p>
    <w:p w:rsidR="00CE4310" w:rsidRPr="003D452A" w:rsidRDefault="00CE4310" w:rsidP="00CE4310">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864"/>
      </w:tblGrid>
      <w:tr w:rsidR="00CE4310" w:rsidRPr="00CE4310" w:rsidTr="00CE4310">
        <w:trPr>
          <w:trHeight w:val="540"/>
          <w:tblCellSpacing w:w="15" w:type="dxa"/>
        </w:trPr>
        <w:tc>
          <w:tcPr>
            <w:tcW w:w="0" w:type="auto"/>
            <w:gridSpan w:val="2"/>
            <w:vAlign w:val="center"/>
            <w:hideMark/>
          </w:tcPr>
          <w:p w:rsidR="00CE4310" w:rsidRPr="00CE4310" w:rsidRDefault="00CE4310" w:rsidP="00CE4310">
            <w:pPr>
              <w:spacing w:after="0" w:line="240" w:lineRule="auto"/>
              <w:jc w:val="center"/>
              <w:rPr>
                <w:rFonts w:ascii="Trebuchet MS" w:eastAsia="Times New Roman" w:hAnsi="Trebuchet MS" w:cs="Times New Roman"/>
                <w:color w:val="333333"/>
                <w:sz w:val="23"/>
                <w:szCs w:val="23"/>
                <w:lang w:val="en-GB" w:eastAsia="en-GB"/>
              </w:rPr>
            </w:pPr>
            <w:r w:rsidRPr="00CE4310">
              <w:rPr>
                <w:rFonts w:ascii="Trebuchet MS" w:eastAsia="Times New Roman" w:hAnsi="Trebuchet MS" w:cs="Times New Roman"/>
                <w:b/>
                <w:bCs/>
                <w:color w:val="333333"/>
                <w:sz w:val="23"/>
                <w:szCs w:val="23"/>
                <w:lang w:val="en-GB" w:eastAsia="en-GB"/>
              </w:rPr>
              <w:t>CONTACT</w:t>
            </w:r>
          </w:p>
        </w:tc>
      </w:tr>
      <w:tr w:rsidR="00CE4310" w:rsidRPr="00CE4310" w:rsidTr="00CE4310">
        <w:trPr>
          <w:tblCellSpacing w:w="15" w:type="dxa"/>
        </w:trPr>
        <w:tc>
          <w:tcPr>
            <w:tcW w:w="1632" w:type="dxa"/>
            <w:vAlign w:val="center"/>
            <w:hideMark/>
          </w:tcPr>
          <w:p w:rsidR="00CE4310" w:rsidRPr="00CE4310" w:rsidRDefault="00CE4310" w:rsidP="00CE4310">
            <w:pPr>
              <w:spacing w:after="0" w:line="240" w:lineRule="auto"/>
              <w:rPr>
                <w:rFonts w:ascii="Times New Roman" w:eastAsia="Times New Roman" w:hAnsi="Times New Roman" w:cs="Times New Roman"/>
                <w:sz w:val="20"/>
                <w:szCs w:val="20"/>
                <w:lang w:val="en-GB" w:eastAsia="en-GB"/>
              </w:rPr>
            </w:pPr>
            <w:r w:rsidRPr="00CE4310">
              <w:rPr>
                <w:rFonts w:ascii="Times New Roman" w:eastAsia="Times New Roman" w:hAnsi="Times New Roman" w:cs="Times New Roman"/>
                <w:sz w:val="20"/>
                <w:szCs w:val="20"/>
                <w:lang w:val="en-GB" w:eastAsia="en-GB"/>
              </w:rPr>
              <w:t>Name:</w:t>
            </w:r>
          </w:p>
        </w:tc>
        <w:tc>
          <w:tcPr>
            <w:tcW w:w="4956" w:type="dxa"/>
            <w:hideMark/>
          </w:tcPr>
          <w:p w:rsidR="00CE4310" w:rsidRPr="00CE4310" w:rsidRDefault="00CE4310" w:rsidP="00CE4310">
            <w:pPr>
              <w:spacing w:after="0" w:line="240" w:lineRule="auto"/>
              <w:rPr>
                <w:rFonts w:ascii="Times New Roman" w:eastAsia="Times New Roman" w:hAnsi="Times New Roman" w:cs="Times New Roman"/>
                <w:sz w:val="20"/>
                <w:szCs w:val="20"/>
                <w:lang w:val="en-GB" w:eastAsia="en-GB"/>
              </w:rPr>
            </w:pPr>
            <w:proofErr w:type="spellStart"/>
            <w:r w:rsidRPr="00CE4310">
              <w:rPr>
                <w:rFonts w:ascii="Times New Roman" w:eastAsia="Times New Roman" w:hAnsi="Times New Roman" w:cs="Times New Roman"/>
                <w:b/>
                <w:bCs/>
                <w:sz w:val="20"/>
                <w:szCs w:val="20"/>
                <w:lang w:val="en-GB" w:eastAsia="en-GB"/>
              </w:rPr>
              <w:t>Minglan</w:t>
            </w:r>
            <w:proofErr w:type="spellEnd"/>
          </w:p>
        </w:tc>
      </w:tr>
      <w:tr w:rsidR="00CE4310" w:rsidRPr="00CE4310" w:rsidTr="00CE4310">
        <w:trPr>
          <w:tblCellSpacing w:w="15" w:type="dxa"/>
        </w:trPr>
        <w:tc>
          <w:tcPr>
            <w:tcW w:w="0" w:type="auto"/>
            <w:vAlign w:val="center"/>
            <w:hideMark/>
          </w:tcPr>
          <w:p w:rsidR="00CE4310" w:rsidRPr="00CE4310" w:rsidRDefault="00CE4310" w:rsidP="00CE4310">
            <w:pPr>
              <w:spacing w:after="0" w:line="240" w:lineRule="auto"/>
              <w:rPr>
                <w:rFonts w:ascii="Times New Roman" w:eastAsia="Times New Roman" w:hAnsi="Times New Roman" w:cs="Times New Roman"/>
                <w:sz w:val="20"/>
                <w:szCs w:val="20"/>
                <w:lang w:val="en-GB" w:eastAsia="en-GB"/>
              </w:rPr>
            </w:pPr>
            <w:proofErr w:type="spellStart"/>
            <w:r w:rsidRPr="00CE4310">
              <w:rPr>
                <w:rFonts w:ascii="Times New Roman" w:eastAsia="Times New Roman" w:hAnsi="Times New Roman" w:cs="Times New Roman"/>
                <w:sz w:val="20"/>
                <w:szCs w:val="20"/>
                <w:lang w:val="en-GB" w:eastAsia="en-GB"/>
              </w:rPr>
              <w:t>Lastname</w:t>
            </w:r>
            <w:proofErr w:type="spellEnd"/>
            <w:r w:rsidRPr="00CE4310">
              <w:rPr>
                <w:rFonts w:ascii="Times New Roman" w:eastAsia="Times New Roman" w:hAnsi="Times New Roman" w:cs="Times New Roman"/>
                <w:sz w:val="20"/>
                <w:szCs w:val="20"/>
                <w:lang w:val="en-GB" w:eastAsia="en-GB"/>
              </w:rPr>
              <w:t>:</w:t>
            </w:r>
          </w:p>
        </w:tc>
        <w:tc>
          <w:tcPr>
            <w:tcW w:w="0" w:type="auto"/>
            <w:hideMark/>
          </w:tcPr>
          <w:p w:rsidR="00CE4310" w:rsidRPr="00CE4310" w:rsidRDefault="00CE4310" w:rsidP="00CE4310">
            <w:pPr>
              <w:spacing w:after="0" w:line="240" w:lineRule="auto"/>
              <w:rPr>
                <w:rFonts w:ascii="Times New Roman" w:eastAsia="Times New Roman" w:hAnsi="Times New Roman" w:cs="Times New Roman"/>
                <w:sz w:val="20"/>
                <w:szCs w:val="20"/>
                <w:lang w:val="en-GB" w:eastAsia="en-GB"/>
              </w:rPr>
            </w:pPr>
            <w:r w:rsidRPr="00CE4310">
              <w:rPr>
                <w:rFonts w:ascii="Times New Roman" w:eastAsia="Times New Roman" w:hAnsi="Times New Roman" w:cs="Times New Roman"/>
                <w:b/>
                <w:bCs/>
                <w:sz w:val="20"/>
                <w:szCs w:val="20"/>
                <w:lang w:val="en-GB" w:eastAsia="en-GB"/>
              </w:rPr>
              <w:t>Li</w:t>
            </w:r>
          </w:p>
        </w:tc>
      </w:tr>
      <w:tr w:rsidR="00CE4310" w:rsidRPr="00CE4310" w:rsidTr="00CE4310">
        <w:trPr>
          <w:tblCellSpacing w:w="15" w:type="dxa"/>
        </w:trPr>
        <w:tc>
          <w:tcPr>
            <w:tcW w:w="0" w:type="auto"/>
            <w:vAlign w:val="center"/>
            <w:hideMark/>
          </w:tcPr>
          <w:p w:rsidR="00CE4310" w:rsidRPr="00CE4310" w:rsidRDefault="00CE4310" w:rsidP="00CE4310">
            <w:pPr>
              <w:spacing w:after="0" w:line="240" w:lineRule="auto"/>
              <w:rPr>
                <w:rFonts w:ascii="Times New Roman" w:eastAsia="Times New Roman" w:hAnsi="Times New Roman" w:cs="Times New Roman"/>
                <w:sz w:val="20"/>
                <w:szCs w:val="20"/>
                <w:lang w:val="en-GB" w:eastAsia="en-GB"/>
              </w:rPr>
            </w:pPr>
            <w:r w:rsidRPr="00CE4310">
              <w:rPr>
                <w:rFonts w:ascii="Times New Roman" w:eastAsia="Times New Roman" w:hAnsi="Times New Roman" w:cs="Times New Roman"/>
                <w:sz w:val="20"/>
                <w:szCs w:val="20"/>
                <w:lang w:val="en-GB" w:eastAsia="en-GB"/>
              </w:rPr>
              <w:t>E-mail:</w:t>
            </w:r>
          </w:p>
        </w:tc>
        <w:tc>
          <w:tcPr>
            <w:tcW w:w="0" w:type="auto"/>
            <w:hideMark/>
          </w:tcPr>
          <w:p w:rsidR="00CE4310" w:rsidRPr="00CE4310" w:rsidRDefault="00CE4310" w:rsidP="00CE4310">
            <w:pPr>
              <w:spacing w:after="0" w:line="240" w:lineRule="auto"/>
              <w:rPr>
                <w:rFonts w:ascii="Times New Roman" w:eastAsia="Times New Roman" w:hAnsi="Times New Roman" w:cs="Times New Roman"/>
                <w:sz w:val="20"/>
                <w:szCs w:val="20"/>
                <w:lang w:val="en-GB" w:eastAsia="en-GB"/>
              </w:rPr>
            </w:pPr>
            <w:r w:rsidRPr="00CE4310">
              <w:rPr>
                <w:rFonts w:ascii="Times New Roman" w:eastAsia="Times New Roman" w:hAnsi="Times New Roman" w:cs="Times New Roman"/>
                <w:b/>
                <w:bCs/>
                <w:sz w:val="20"/>
                <w:szCs w:val="20"/>
                <w:lang w:val="en-GB" w:eastAsia="en-GB"/>
              </w:rPr>
              <w:t>m.li@auckland.ac.nz</w:t>
            </w:r>
          </w:p>
        </w:tc>
      </w:tr>
      <w:tr w:rsidR="00CE4310" w:rsidRPr="00CE4310" w:rsidTr="00CE4310">
        <w:trPr>
          <w:tblCellSpacing w:w="15" w:type="dxa"/>
        </w:trPr>
        <w:tc>
          <w:tcPr>
            <w:tcW w:w="0" w:type="auto"/>
            <w:vAlign w:val="center"/>
            <w:hideMark/>
          </w:tcPr>
          <w:p w:rsidR="00CE4310" w:rsidRPr="00CE4310" w:rsidRDefault="00CE4310" w:rsidP="00CE4310">
            <w:pPr>
              <w:spacing w:after="0" w:line="240" w:lineRule="auto"/>
              <w:rPr>
                <w:rFonts w:ascii="Times New Roman" w:eastAsia="Times New Roman" w:hAnsi="Times New Roman" w:cs="Times New Roman"/>
                <w:sz w:val="20"/>
                <w:szCs w:val="20"/>
                <w:lang w:val="en-GB" w:eastAsia="en-GB"/>
              </w:rPr>
            </w:pPr>
            <w:r w:rsidRPr="00CE4310">
              <w:rPr>
                <w:rFonts w:ascii="Times New Roman" w:eastAsia="Times New Roman" w:hAnsi="Times New Roman" w:cs="Times New Roman"/>
                <w:sz w:val="20"/>
                <w:szCs w:val="20"/>
                <w:lang w:val="en-GB" w:eastAsia="en-GB"/>
              </w:rPr>
              <w:t>Country:</w:t>
            </w:r>
          </w:p>
        </w:tc>
        <w:tc>
          <w:tcPr>
            <w:tcW w:w="0" w:type="auto"/>
            <w:hideMark/>
          </w:tcPr>
          <w:p w:rsidR="00CE4310" w:rsidRPr="00CE4310" w:rsidRDefault="00CE4310" w:rsidP="00CE4310">
            <w:pPr>
              <w:spacing w:after="0" w:line="240" w:lineRule="auto"/>
              <w:rPr>
                <w:rFonts w:ascii="Times New Roman" w:eastAsia="Times New Roman" w:hAnsi="Times New Roman" w:cs="Times New Roman"/>
                <w:sz w:val="20"/>
                <w:szCs w:val="20"/>
                <w:lang w:val="en-GB" w:eastAsia="en-GB"/>
              </w:rPr>
            </w:pPr>
            <w:r w:rsidRPr="00CE4310">
              <w:rPr>
                <w:rFonts w:ascii="Times New Roman" w:eastAsia="Times New Roman" w:hAnsi="Times New Roman" w:cs="Times New Roman"/>
                <w:b/>
                <w:bCs/>
                <w:sz w:val="20"/>
                <w:szCs w:val="20"/>
                <w:lang w:val="en-GB" w:eastAsia="en-GB"/>
              </w:rPr>
              <w:t>New Zealand</w:t>
            </w:r>
          </w:p>
        </w:tc>
      </w:tr>
      <w:tr w:rsidR="00CE4310" w:rsidRPr="00CE4310" w:rsidTr="00CE4310">
        <w:trPr>
          <w:tblCellSpacing w:w="15" w:type="dxa"/>
        </w:trPr>
        <w:tc>
          <w:tcPr>
            <w:tcW w:w="0" w:type="auto"/>
            <w:vAlign w:val="center"/>
            <w:hideMark/>
          </w:tcPr>
          <w:p w:rsidR="00CE4310" w:rsidRPr="00CE4310" w:rsidRDefault="00CE4310" w:rsidP="00CE4310">
            <w:pPr>
              <w:spacing w:after="0" w:line="240" w:lineRule="auto"/>
              <w:rPr>
                <w:rFonts w:ascii="Times New Roman" w:eastAsia="Times New Roman" w:hAnsi="Times New Roman" w:cs="Times New Roman"/>
                <w:sz w:val="20"/>
                <w:szCs w:val="20"/>
                <w:lang w:val="en-GB" w:eastAsia="en-GB"/>
              </w:rPr>
            </w:pPr>
            <w:r w:rsidRPr="00CE4310">
              <w:rPr>
                <w:rFonts w:ascii="Times New Roman" w:eastAsia="Times New Roman" w:hAnsi="Times New Roman" w:cs="Times New Roman"/>
                <w:sz w:val="20"/>
                <w:szCs w:val="20"/>
                <w:lang w:val="en-GB" w:eastAsia="en-GB"/>
              </w:rPr>
              <w:t>Institution</w:t>
            </w:r>
          </w:p>
        </w:tc>
        <w:tc>
          <w:tcPr>
            <w:tcW w:w="0" w:type="auto"/>
            <w:hideMark/>
          </w:tcPr>
          <w:p w:rsidR="00CE4310" w:rsidRPr="00CE4310" w:rsidRDefault="00CE4310" w:rsidP="00CE4310">
            <w:pPr>
              <w:spacing w:after="0" w:line="240" w:lineRule="auto"/>
              <w:rPr>
                <w:rFonts w:ascii="Times New Roman" w:eastAsia="Times New Roman" w:hAnsi="Times New Roman" w:cs="Times New Roman"/>
                <w:sz w:val="20"/>
                <w:szCs w:val="20"/>
                <w:lang w:val="en-GB" w:eastAsia="en-GB"/>
              </w:rPr>
            </w:pPr>
            <w:r w:rsidRPr="00CE4310">
              <w:rPr>
                <w:rFonts w:ascii="Times New Roman" w:eastAsia="Times New Roman" w:hAnsi="Times New Roman" w:cs="Times New Roman"/>
                <w:b/>
                <w:bCs/>
                <w:sz w:val="20"/>
                <w:szCs w:val="20"/>
                <w:lang w:val="en-GB" w:eastAsia="en-GB"/>
              </w:rPr>
              <w:t>Department of Obstetrics and Gynaecology, University of Auckland</w:t>
            </w:r>
          </w:p>
        </w:tc>
      </w:tr>
      <w:tr w:rsidR="00CE4310" w:rsidRPr="00CE4310" w:rsidTr="00CE4310">
        <w:trPr>
          <w:tblCellSpacing w:w="15" w:type="dxa"/>
        </w:trPr>
        <w:tc>
          <w:tcPr>
            <w:tcW w:w="0" w:type="auto"/>
            <w:vAlign w:val="center"/>
            <w:hideMark/>
          </w:tcPr>
          <w:p w:rsidR="00CE4310" w:rsidRPr="00CE4310" w:rsidRDefault="00CE4310" w:rsidP="00CE4310">
            <w:pPr>
              <w:spacing w:after="0" w:line="240" w:lineRule="auto"/>
              <w:rPr>
                <w:rFonts w:ascii="Times New Roman" w:eastAsia="Times New Roman" w:hAnsi="Times New Roman" w:cs="Times New Roman"/>
                <w:sz w:val="20"/>
                <w:szCs w:val="20"/>
                <w:lang w:val="en-GB" w:eastAsia="en-GB"/>
              </w:rPr>
            </w:pPr>
            <w:proofErr w:type="spellStart"/>
            <w:r w:rsidRPr="00CE4310">
              <w:rPr>
                <w:rFonts w:ascii="Times New Roman" w:eastAsia="Times New Roman" w:hAnsi="Times New Roman" w:cs="Times New Roman"/>
                <w:sz w:val="20"/>
                <w:szCs w:val="20"/>
                <w:lang w:val="en-GB" w:eastAsia="en-GB"/>
              </w:rPr>
              <w:t>Cellphone</w:t>
            </w:r>
            <w:proofErr w:type="spellEnd"/>
            <w:r w:rsidRPr="00CE4310">
              <w:rPr>
                <w:rFonts w:ascii="Times New Roman" w:eastAsia="Times New Roman" w:hAnsi="Times New Roman" w:cs="Times New Roman"/>
                <w:sz w:val="20"/>
                <w:szCs w:val="20"/>
                <w:lang w:val="en-GB" w:eastAsia="en-GB"/>
              </w:rPr>
              <w:t>:</w:t>
            </w:r>
          </w:p>
        </w:tc>
        <w:tc>
          <w:tcPr>
            <w:tcW w:w="0" w:type="auto"/>
            <w:hideMark/>
          </w:tcPr>
          <w:p w:rsidR="00CE4310" w:rsidRPr="00CE4310" w:rsidRDefault="00CE4310" w:rsidP="00CE4310">
            <w:pPr>
              <w:spacing w:after="0" w:line="240" w:lineRule="auto"/>
              <w:rPr>
                <w:rFonts w:ascii="Times New Roman" w:eastAsia="Times New Roman" w:hAnsi="Times New Roman" w:cs="Times New Roman"/>
                <w:sz w:val="20"/>
                <w:szCs w:val="20"/>
                <w:lang w:val="en-GB" w:eastAsia="en-GB"/>
              </w:rPr>
            </w:pPr>
            <w:r w:rsidRPr="00CE4310">
              <w:rPr>
                <w:rFonts w:ascii="Times New Roman" w:eastAsia="Times New Roman" w:hAnsi="Times New Roman" w:cs="Times New Roman"/>
                <w:b/>
                <w:bCs/>
                <w:sz w:val="20"/>
                <w:szCs w:val="20"/>
                <w:lang w:val="en-GB" w:eastAsia="en-GB"/>
              </w:rPr>
              <w:t>+642102559763</w:t>
            </w:r>
          </w:p>
        </w:tc>
      </w:tr>
      <w:tr w:rsidR="00CE4310" w:rsidRPr="00CE4310" w:rsidTr="00CE4310">
        <w:trPr>
          <w:tblCellSpacing w:w="15" w:type="dxa"/>
        </w:trPr>
        <w:tc>
          <w:tcPr>
            <w:tcW w:w="0" w:type="auto"/>
            <w:vAlign w:val="center"/>
            <w:hideMark/>
          </w:tcPr>
          <w:p w:rsidR="00CE4310" w:rsidRPr="00CE4310" w:rsidRDefault="00CE4310" w:rsidP="00CE4310">
            <w:pPr>
              <w:spacing w:after="0" w:line="240" w:lineRule="auto"/>
              <w:rPr>
                <w:rFonts w:ascii="Times New Roman" w:eastAsia="Times New Roman" w:hAnsi="Times New Roman" w:cs="Times New Roman"/>
                <w:sz w:val="20"/>
                <w:szCs w:val="20"/>
                <w:lang w:val="en-GB" w:eastAsia="en-GB"/>
              </w:rPr>
            </w:pPr>
            <w:r w:rsidRPr="00CE4310">
              <w:rPr>
                <w:rFonts w:ascii="Times New Roman" w:eastAsia="Times New Roman" w:hAnsi="Times New Roman" w:cs="Times New Roman"/>
                <w:sz w:val="20"/>
                <w:szCs w:val="20"/>
                <w:lang w:val="en-GB" w:eastAsia="en-GB"/>
              </w:rPr>
              <w:t>City:</w:t>
            </w:r>
          </w:p>
        </w:tc>
        <w:tc>
          <w:tcPr>
            <w:tcW w:w="0" w:type="auto"/>
            <w:hideMark/>
          </w:tcPr>
          <w:p w:rsidR="00CE4310" w:rsidRPr="00CE4310" w:rsidRDefault="00CE4310" w:rsidP="00CE4310">
            <w:pPr>
              <w:spacing w:after="0" w:line="240" w:lineRule="auto"/>
              <w:rPr>
                <w:rFonts w:ascii="Times New Roman" w:eastAsia="Times New Roman" w:hAnsi="Times New Roman" w:cs="Times New Roman"/>
                <w:sz w:val="20"/>
                <w:szCs w:val="20"/>
                <w:lang w:val="en-GB" w:eastAsia="en-GB"/>
              </w:rPr>
            </w:pPr>
            <w:r w:rsidRPr="00CE4310">
              <w:rPr>
                <w:rFonts w:ascii="Times New Roman" w:eastAsia="Times New Roman" w:hAnsi="Times New Roman" w:cs="Times New Roman"/>
                <w:b/>
                <w:bCs/>
                <w:sz w:val="20"/>
                <w:szCs w:val="20"/>
                <w:lang w:val="en-GB" w:eastAsia="en-GB"/>
              </w:rPr>
              <w:t>Auckland</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4310"/>
    <w:rsid w:val="003D452A"/>
    <w:rsid w:val="005D72E0"/>
    <w:rsid w:val="00C779E0"/>
    <w:rsid w:val="00CE43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E4310"/>
    <w:rPr>
      <w:b/>
      <w:bCs/>
    </w:rPr>
  </w:style>
  <w:style w:type="paragraph" w:styleId="NormalWeb">
    <w:name w:val="Normal (Web)"/>
    <w:basedOn w:val="Normal"/>
    <w:uiPriority w:val="99"/>
    <w:unhideWhenUsed/>
    <w:rsid w:val="00CE431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CE431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E4310"/>
    <w:rPr>
      <w:b/>
      <w:bCs/>
    </w:rPr>
  </w:style>
  <w:style w:type="paragraph" w:styleId="NormalWeb">
    <w:name w:val="Normal (Web)"/>
    <w:basedOn w:val="Normal"/>
    <w:uiPriority w:val="99"/>
    <w:unhideWhenUsed/>
    <w:rsid w:val="00CE431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CE43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0823460">
      <w:bodyDiv w:val="1"/>
      <w:marLeft w:val="0"/>
      <w:marRight w:val="0"/>
      <w:marTop w:val="0"/>
      <w:marBottom w:val="0"/>
      <w:divBdr>
        <w:top w:val="none" w:sz="0" w:space="0" w:color="auto"/>
        <w:left w:val="none" w:sz="0" w:space="0" w:color="auto"/>
        <w:bottom w:val="none" w:sz="0" w:space="0" w:color="auto"/>
        <w:right w:val="none" w:sz="0" w:space="0" w:color="auto"/>
      </w:divBdr>
      <w:divsChild>
        <w:div w:id="1793938321">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531</Words>
  <Characters>3032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3</cp:revision>
  <dcterms:created xsi:type="dcterms:W3CDTF">2016-04-01T20:15:00Z</dcterms:created>
  <dcterms:modified xsi:type="dcterms:W3CDTF">2016-04-03T18:44:00Z</dcterms:modified>
</cp:coreProperties>
</file>